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BE" w:rsidRDefault="008A3ABC" w:rsidP="008A3ABC">
      <w:pPr>
        <w:jc w:val="center"/>
        <w:rPr>
          <w:b/>
        </w:rPr>
      </w:pPr>
      <w:r>
        <w:rPr>
          <w:b/>
        </w:rPr>
        <w:t>SCHNECK MEDICAL CENTER</w:t>
      </w:r>
    </w:p>
    <w:p w:rsidR="008A3ABC" w:rsidRDefault="008A3ABC" w:rsidP="008A3ABC">
      <w:pPr>
        <w:jc w:val="center"/>
        <w:rPr>
          <w:b/>
        </w:rPr>
      </w:pPr>
    </w:p>
    <w:p w:rsidR="008A3ABC" w:rsidRDefault="008A3ABC" w:rsidP="008A3ABC">
      <w:pPr>
        <w:jc w:val="center"/>
        <w:rPr>
          <w:b/>
          <w:u w:val="single"/>
        </w:rPr>
      </w:pPr>
      <w:r>
        <w:rPr>
          <w:b/>
          <w:u w:val="single"/>
        </w:rPr>
        <w:t>Amount Generally Billed Calculation</w:t>
      </w:r>
    </w:p>
    <w:p w:rsidR="008A3ABC" w:rsidRPr="008A3ABC" w:rsidRDefault="000D7F85" w:rsidP="008A3ABC">
      <w:pPr>
        <w:jc w:val="center"/>
        <w:rPr>
          <w:b/>
        </w:rPr>
      </w:pPr>
      <w:r>
        <w:rPr>
          <w:b/>
        </w:rPr>
        <w:t>01/01/202</w:t>
      </w:r>
      <w:r w:rsidR="009668CC">
        <w:rPr>
          <w:b/>
        </w:rPr>
        <w:t>4</w:t>
      </w:r>
    </w:p>
    <w:p w:rsidR="008A3ABC" w:rsidRDefault="008A3ABC"/>
    <w:p w:rsidR="00F2339B" w:rsidRDefault="00F2339B"/>
    <w:p w:rsidR="00F2339B" w:rsidRDefault="00F2339B" w:rsidP="00F2339B">
      <w:r>
        <w:tab/>
        <w:t>Schneck Medical Center (the “Hospital”) does not charge</w:t>
      </w:r>
      <w:r w:rsidR="00756895">
        <w:t xml:space="preserve"> patients who are eligible for</w:t>
      </w:r>
      <w:r>
        <w:t xml:space="preserve"> financial assistance more t</w:t>
      </w:r>
      <w:r w:rsidRPr="008A3ABC">
        <w:t>han amounts generally billed (“AGB”) to those who have insurance covering such care.</w:t>
      </w:r>
      <w:r>
        <w:t xml:space="preserve">  Furthermore, charges for any emergency or other medically necessary care provided to individuals who are eligible for Financial Assistance under the Financial Assistance Policy will be less than the gross charges for such services.  The Hospital</w:t>
      </w:r>
      <w:r w:rsidRPr="008A3ABC">
        <w:t xml:space="preserve"> uses the look-back method and calculates </w:t>
      </w:r>
      <w:r w:rsidR="00756895">
        <w:t>its</w:t>
      </w:r>
      <w:r w:rsidRPr="008A3ABC">
        <w:t xml:space="preserve"> AGB percentage</w:t>
      </w:r>
      <w:r w:rsidR="00756895">
        <w:t>(s)</w:t>
      </w:r>
      <w:r w:rsidRPr="008A3ABC">
        <w:t xml:space="preserve"> </w:t>
      </w:r>
      <w:r>
        <w:t>as follows:</w:t>
      </w:r>
    </w:p>
    <w:p w:rsidR="00F2339B" w:rsidRDefault="00F2339B" w:rsidP="00F2339B"/>
    <w:p w:rsidR="00F2339B" w:rsidRDefault="00F2339B" w:rsidP="00F2339B">
      <w:pPr>
        <w:pStyle w:val="ListParagraph"/>
        <w:numPr>
          <w:ilvl w:val="0"/>
          <w:numId w:val="3"/>
        </w:numPr>
        <w:ind w:hanging="720"/>
      </w:pPr>
      <w:r>
        <w:t>The Hospital uses its gross charges as a starting point for its billing calculations.  The AGB Percentage is reached by dividing the sum of all the Hospital’s claims for emergency and other medically necessary care that were allowed by all health insurers over the prior 12 month period by the sum of the associated gross charges for such claims.</w:t>
      </w:r>
    </w:p>
    <w:p w:rsidR="00F2339B" w:rsidRDefault="00F2339B" w:rsidP="00F2339B">
      <w:pPr>
        <w:pStyle w:val="ListParagraph"/>
        <w:ind w:left="1440"/>
      </w:pPr>
    </w:p>
    <w:p w:rsidR="00F2339B" w:rsidRDefault="00F2339B" w:rsidP="00F2339B">
      <w:pPr>
        <w:pStyle w:val="ListParagraph"/>
        <w:numPr>
          <w:ilvl w:val="0"/>
          <w:numId w:val="3"/>
        </w:numPr>
        <w:ind w:hanging="720"/>
      </w:pPr>
      <w:r>
        <w:t>When calculating the allowed claims, the Hospital</w:t>
      </w:r>
      <w:r w:rsidR="00B13F59">
        <w:t xml:space="preserve"> includes</w:t>
      </w:r>
      <w:r>
        <w:t xml:space="preserve"> the full amount allowed by the health insurer, including both the amount the insurer will pay or reimburse and the amount (if any) the individual is personally responsible for paying in the form of co-payments, coinsurance and deductibles.</w:t>
      </w:r>
    </w:p>
    <w:p w:rsidR="00F2339B" w:rsidRDefault="00F2339B" w:rsidP="00F2339B">
      <w:pPr>
        <w:pStyle w:val="ListParagraph"/>
      </w:pPr>
    </w:p>
    <w:p w:rsidR="00F2339B" w:rsidRPr="00BC227E" w:rsidRDefault="00F2339B" w:rsidP="00F2339B">
      <w:pPr>
        <w:pStyle w:val="ListParagraph"/>
        <w:numPr>
          <w:ilvl w:val="0"/>
          <w:numId w:val="3"/>
        </w:numPr>
        <w:ind w:hanging="720"/>
      </w:pPr>
      <w:r>
        <w:t xml:space="preserve">In calculating the AGB Percentage, the Hospital includes fee-for-service claims </w:t>
      </w:r>
      <w:r w:rsidRPr="00BC227E">
        <w:t>paid by a combination of fee-for-service claims paid by Medicare Part A or B and claims paid by private health insurers.  So long as an AGB Percentage exists for each emergent and medically necessary service, Schneck Medical Center may calculate one AGB Percentage, separate AGB Percentages for different categories of services, or separate AGB Percentages for individual items and services.</w:t>
      </w:r>
    </w:p>
    <w:p w:rsidR="00F2339B" w:rsidRDefault="00F2339B" w:rsidP="00F2339B">
      <w:pPr>
        <w:pStyle w:val="ListParagraph"/>
      </w:pPr>
    </w:p>
    <w:p w:rsidR="00F2339B" w:rsidRDefault="00F2339B" w:rsidP="00F2339B">
      <w:pPr>
        <w:pStyle w:val="ListParagraph"/>
        <w:numPr>
          <w:ilvl w:val="0"/>
          <w:numId w:val="3"/>
        </w:numPr>
        <w:ind w:hanging="720"/>
      </w:pPr>
      <w:r>
        <w:t>For the year noted above, the AGB Percentage(s) are as follow:</w:t>
      </w:r>
    </w:p>
    <w:p w:rsidR="00F2339B" w:rsidRDefault="00F2339B" w:rsidP="00F2339B">
      <w:pPr>
        <w:pStyle w:val="ListParagraph"/>
      </w:pPr>
    </w:p>
    <w:p w:rsidR="00F2339B" w:rsidRPr="00F2339B" w:rsidRDefault="000A6DE4" w:rsidP="00F2339B">
      <w:pPr>
        <w:pStyle w:val="ListParagraph"/>
        <w:ind w:left="0"/>
        <w:jc w:val="center"/>
        <w:rPr>
          <w:b/>
        </w:rPr>
      </w:pPr>
      <w:r>
        <w:rPr>
          <w:b/>
        </w:rPr>
        <w:t xml:space="preserve">Overall = </w:t>
      </w:r>
      <w:r w:rsidR="00EF6153">
        <w:rPr>
          <w:b/>
        </w:rPr>
        <w:t>37.7</w:t>
      </w:r>
      <w:r w:rsidR="009668CC">
        <w:rPr>
          <w:b/>
        </w:rPr>
        <w:t>3</w:t>
      </w:r>
      <w:bookmarkStart w:id="0" w:name="_GoBack"/>
      <w:bookmarkEnd w:id="0"/>
      <w:r>
        <w:rPr>
          <w:b/>
        </w:rPr>
        <w:t>%</w:t>
      </w:r>
    </w:p>
    <w:p w:rsidR="00F2339B" w:rsidRDefault="00F2339B" w:rsidP="00F2339B">
      <w:pPr>
        <w:pStyle w:val="ListParagraph"/>
        <w:ind w:left="0"/>
      </w:pPr>
    </w:p>
    <w:p w:rsidR="00F2339B" w:rsidRPr="00F2339B" w:rsidRDefault="00F2339B" w:rsidP="00F2339B">
      <w:pPr>
        <w:pStyle w:val="ListParagraph"/>
        <w:ind w:left="0"/>
      </w:pPr>
      <w:r>
        <w:t>This document shall be updated periodically, as contemplated by Section 501(r) of the Internal Revenue Code, as amended, and the corresponding Treasury Regulations.  The current version of this document shall be posted on</w:t>
      </w:r>
      <w:r w:rsidRPr="00F2339B">
        <w:rPr>
          <w:color w:val="000000"/>
        </w:rPr>
        <w:t xml:space="preserve"> </w:t>
      </w:r>
      <w:r>
        <w:rPr>
          <w:color w:val="000000"/>
        </w:rPr>
        <w:t xml:space="preserve">the Hospital’s </w:t>
      </w:r>
      <w:r w:rsidRPr="00F2339B">
        <w:rPr>
          <w:color w:val="000000"/>
        </w:rPr>
        <w:t xml:space="preserve">website or </w:t>
      </w:r>
      <w:r>
        <w:t>may be requested from the Hospital free of charge by calling the office of Patient Financial Services at (812) 522-0414.</w:t>
      </w:r>
    </w:p>
    <w:p w:rsidR="00F2339B" w:rsidRDefault="00F2339B" w:rsidP="00F2339B">
      <w:pPr>
        <w:ind w:left="2160" w:hanging="720"/>
      </w:pPr>
    </w:p>
    <w:p w:rsidR="00F2339B" w:rsidRDefault="00F2339B" w:rsidP="00F2339B"/>
    <w:p w:rsidR="00F2339B" w:rsidRDefault="00F2339B" w:rsidP="00F2339B"/>
    <w:p w:rsidR="008A3ABC" w:rsidRDefault="008A3ABC"/>
    <w:sectPr w:rsidR="008A3ABC">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ABC" w:rsidRDefault="008A3ABC" w:rsidP="008A3ABC">
      <w:r>
        <w:separator/>
      </w:r>
    </w:p>
  </w:endnote>
  <w:endnote w:type="continuationSeparator" w:id="0">
    <w:p w:rsidR="008A3ABC" w:rsidRDefault="008A3ABC" w:rsidP="008A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ABC" w:rsidRDefault="008A3ABC" w:rsidP="008A3ABC">
      <w:r>
        <w:separator/>
      </w:r>
    </w:p>
  </w:footnote>
  <w:footnote w:type="continuationSeparator" w:id="0">
    <w:p w:rsidR="008A3ABC" w:rsidRDefault="008A3ABC" w:rsidP="008A3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70" w:rsidRDefault="00E05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70" w:rsidRDefault="00E05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70" w:rsidRDefault="00E05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E5F"/>
    <w:multiLevelType w:val="hybridMultilevel"/>
    <w:tmpl w:val="0C1CD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BC3048"/>
    <w:multiLevelType w:val="hybridMultilevel"/>
    <w:tmpl w:val="9BAA3D54"/>
    <w:lvl w:ilvl="0" w:tplc="C76CFC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BC"/>
    <w:rsid w:val="000A6DE4"/>
    <w:rsid w:val="000C4533"/>
    <w:rsid w:val="000D7F85"/>
    <w:rsid w:val="00121927"/>
    <w:rsid w:val="001E36BE"/>
    <w:rsid w:val="00325A43"/>
    <w:rsid w:val="00756895"/>
    <w:rsid w:val="008A3ABC"/>
    <w:rsid w:val="009668CC"/>
    <w:rsid w:val="00B13F59"/>
    <w:rsid w:val="00BC227E"/>
    <w:rsid w:val="00E05C70"/>
    <w:rsid w:val="00EF6153"/>
    <w:rsid w:val="00F2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5B8550"/>
  <w15:docId w15:val="{BECE79C4-B443-4A83-BBFA-05C9A780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 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paragraph" w:styleId="ListParagraph">
    <w:name w:val="List Paragraph"/>
    <w:basedOn w:val="Normal"/>
    <w:uiPriority w:val="34"/>
    <w:semiHidden/>
    <w:qFormat/>
    <w:rsid w:val="008A3ABC"/>
    <w:pPr>
      <w:ind w:left="720"/>
      <w:contextualSpacing/>
    </w:pPr>
  </w:style>
  <w:style w:type="paragraph" w:styleId="Header">
    <w:name w:val="header"/>
    <w:basedOn w:val="Normal"/>
    <w:link w:val="HeaderChar"/>
    <w:uiPriority w:val="99"/>
    <w:unhideWhenUsed/>
    <w:rsid w:val="00E05C70"/>
    <w:pPr>
      <w:tabs>
        <w:tab w:val="center" w:pos="4680"/>
        <w:tab w:val="right" w:pos="9360"/>
      </w:tabs>
    </w:pPr>
  </w:style>
  <w:style w:type="character" w:customStyle="1" w:styleId="HeaderChar">
    <w:name w:val="Header Char"/>
    <w:basedOn w:val="DefaultParagraphFont"/>
    <w:link w:val="Header"/>
    <w:uiPriority w:val="99"/>
    <w:rsid w:val="00E05C70"/>
  </w:style>
  <w:style w:type="paragraph" w:styleId="Footer">
    <w:name w:val="footer"/>
    <w:basedOn w:val="Normal"/>
    <w:link w:val="FooterChar"/>
    <w:uiPriority w:val="99"/>
    <w:unhideWhenUsed/>
    <w:rsid w:val="00E05C70"/>
    <w:pPr>
      <w:tabs>
        <w:tab w:val="center" w:pos="4680"/>
        <w:tab w:val="right" w:pos="9360"/>
      </w:tabs>
    </w:pPr>
  </w:style>
  <w:style w:type="character" w:customStyle="1" w:styleId="FooterChar">
    <w:name w:val="Footer Char"/>
    <w:basedOn w:val="DefaultParagraphFont"/>
    <w:link w:val="Footer"/>
    <w:uiPriority w:val="99"/>
    <w:rsid w:val="00E0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HR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HR_Styles</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Hall Render</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Earley, Skylar D</cp:lastModifiedBy>
  <cp:revision>2</cp:revision>
  <dcterms:created xsi:type="dcterms:W3CDTF">2024-01-19T17:05:00Z</dcterms:created>
  <dcterms:modified xsi:type="dcterms:W3CDTF">2024-01-19T17:05:00Z</dcterms:modified>
</cp:coreProperties>
</file>